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A68EF">
        <w:rPr>
          <w:rFonts w:ascii="Verdana" w:hAnsi="Verdana"/>
          <w:b/>
          <w:sz w:val="20"/>
          <w:szCs w:val="20"/>
        </w:rPr>
        <w:t>De olho na visibilidade externa, MEC promove fusão de sete federais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A68EF">
        <w:rPr>
          <w:rFonts w:ascii="Verdana" w:hAnsi="Verdana"/>
          <w:i/>
          <w:sz w:val="20"/>
          <w:szCs w:val="20"/>
        </w:rPr>
        <w:t>Luciano Máximo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A68EF">
        <w:rPr>
          <w:rFonts w:ascii="Verdana" w:hAnsi="Verdana"/>
          <w:i/>
          <w:sz w:val="20"/>
          <w:szCs w:val="20"/>
        </w:rPr>
        <w:t xml:space="preserve">Modelo de </w:t>
      </w:r>
      <w:proofErr w:type="spellStart"/>
      <w:r w:rsidRPr="00DA68EF">
        <w:rPr>
          <w:rFonts w:ascii="Verdana" w:hAnsi="Verdana"/>
          <w:i/>
          <w:sz w:val="20"/>
          <w:szCs w:val="20"/>
        </w:rPr>
        <w:t>superuniversidade</w:t>
      </w:r>
      <w:proofErr w:type="spellEnd"/>
      <w:r w:rsidRPr="00DA68EF">
        <w:rPr>
          <w:rFonts w:ascii="Verdana" w:hAnsi="Verdana"/>
          <w:i/>
          <w:sz w:val="20"/>
          <w:szCs w:val="20"/>
        </w:rPr>
        <w:t xml:space="preserve"> pode ser repetido no Rio Grande do Sul e no Paraná, diz ministro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 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>O modelo de consolidação setorial chegou ao ensino superior público. Na terça-feira, dia 10, o presidente Luiz Inácio Lula da Silva vai oficializar a unificação de sete universidades federais das regiões sul e sudeste de Minas Gerais, criando uma única instituição, que passará a figurar entre as cinco maiores do país já a partir do ano que vem.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A </w:t>
      </w:r>
      <w:proofErr w:type="spellStart"/>
      <w:r w:rsidRPr="00DA68EF">
        <w:rPr>
          <w:rFonts w:ascii="Verdana" w:hAnsi="Verdana"/>
          <w:sz w:val="20"/>
          <w:szCs w:val="20"/>
        </w:rPr>
        <w:t>superuniversidade</w:t>
      </w:r>
      <w:proofErr w:type="spellEnd"/>
      <w:r w:rsidRPr="00DA68EF">
        <w:rPr>
          <w:rFonts w:ascii="Verdana" w:hAnsi="Verdana"/>
          <w:sz w:val="20"/>
          <w:szCs w:val="20"/>
        </w:rPr>
        <w:t xml:space="preserve"> terá a figura jurídica de um consórcio composto pelas federais de Alfenas (</w:t>
      </w:r>
      <w:proofErr w:type="spellStart"/>
      <w:r w:rsidRPr="00DA68EF">
        <w:rPr>
          <w:rFonts w:ascii="Verdana" w:hAnsi="Verdana"/>
          <w:sz w:val="20"/>
          <w:szCs w:val="20"/>
        </w:rPr>
        <w:t>Unifal</w:t>
      </w:r>
      <w:proofErr w:type="spellEnd"/>
      <w:r w:rsidRPr="00DA68EF">
        <w:rPr>
          <w:rFonts w:ascii="Verdana" w:hAnsi="Verdana"/>
          <w:sz w:val="20"/>
          <w:szCs w:val="20"/>
        </w:rPr>
        <w:t>), Itajubá (</w:t>
      </w:r>
      <w:proofErr w:type="spellStart"/>
      <w:r w:rsidRPr="00DA68EF">
        <w:rPr>
          <w:rFonts w:ascii="Verdana" w:hAnsi="Verdana"/>
          <w:sz w:val="20"/>
          <w:szCs w:val="20"/>
        </w:rPr>
        <w:t>Unifei</w:t>
      </w:r>
      <w:proofErr w:type="spellEnd"/>
      <w:r w:rsidRPr="00DA68EF">
        <w:rPr>
          <w:rFonts w:ascii="Verdana" w:hAnsi="Verdana"/>
          <w:sz w:val="20"/>
          <w:szCs w:val="20"/>
        </w:rPr>
        <w:t>), Juiz de Fora (UFJF), Lavras (</w:t>
      </w:r>
      <w:proofErr w:type="spellStart"/>
      <w:r w:rsidRPr="00DA68EF">
        <w:rPr>
          <w:rFonts w:ascii="Verdana" w:hAnsi="Verdana"/>
          <w:sz w:val="20"/>
          <w:szCs w:val="20"/>
        </w:rPr>
        <w:t>Ufla</w:t>
      </w:r>
      <w:proofErr w:type="spellEnd"/>
      <w:r w:rsidRPr="00DA68EF">
        <w:rPr>
          <w:rFonts w:ascii="Verdana" w:hAnsi="Verdana"/>
          <w:sz w:val="20"/>
          <w:szCs w:val="20"/>
        </w:rPr>
        <w:t xml:space="preserve">), São João </w:t>
      </w:r>
      <w:proofErr w:type="spellStart"/>
      <w:proofErr w:type="gramStart"/>
      <w:r w:rsidRPr="00DA68EF">
        <w:rPr>
          <w:rFonts w:ascii="Verdana" w:hAnsi="Verdana"/>
          <w:sz w:val="20"/>
          <w:szCs w:val="20"/>
        </w:rPr>
        <w:t>del</w:t>
      </w:r>
      <w:proofErr w:type="gramEnd"/>
      <w:r w:rsidRPr="00DA68EF">
        <w:rPr>
          <w:rFonts w:ascii="Verdana" w:hAnsi="Verdana"/>
          <w:sz w:val="20"/>
          <w:szCs w:val="20"/>
        </w:rPr>
        <w:t>-Rei</w:t>
      </w:r>
      <w:proofErr w:type="spellEnd"/>
      <w:r w:rsidRPr="00DA68EF">
        <w:rPr>
          <w:rFonts w:ascii="Verdana" w:hAnsi="Verdana"/>
          <w:sz w:val="20"/>
          <w:szCs w:val="20"/>
        </w:rPr>
        <w:t xml:space="preserve"> (UFSJ), Ouro Preto (</w:t>
      </w:r>
      <w:proofErr w:type="spellStart"/>
      <w:r w:rsidRPr="00DA68EF">
        <w:rPr>
          <w:rFonts w:ascii="Verdana" w:hAnsi="Verdana"/>
          <w:sz w:val="20"/>
          <w:szCs w:val="20"/>
        </w:rPr>
        <w:t>Ufop</w:t>
      </w:r>
      <w:proofErr w:type="spellEnd"/>
      <w:r w:rsidRPr="00DA68EF">
        <w:rPr>
          <w:rFonts w:ascii="Verdana" w:hAnsi="Verdana"/>
          <w:sz w:val="20"/>
          <w:szCs w:val="20"/>
        </w:rPr>
        <w:t xml:space="preserve">)e Viçosa (UFV) e já nasce com 46,3 mil alunos em mais de 400 cursos de graduação e programas de pós-graduação, 3,5 mil professores e 4 mil funcionários da área técnica e administrativa. 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Inédita no setor público, a fusão foi inspirada em exemplos da França e dos Estados Unidos e prevê dar mais visibilidade internacional ao Brasil na área acadêmica, contou ao Valor o ministro da Educação, Fernando Haddad. "O país tem uma característica singular: é o 13º do mundo em produção científica, mas poucas universidades públicas aparecem como importantes por causa do caráter de excessiva fragmentação do sistema federal." Haddad refere-se às três universidades estaduais de São Paulo - USP, Unicamp e </w:t>
      </w:r>
      <w:proofErr w:type="spellStart"/>
      <w:proofErr w:type="gramStart"/>
      <w:r w:rsidRPr="00DA68EF">
        <w:rPr>
          <w:rFonts w:ascii="Verdana" w:hAnsi="Verdana"/>
          <w:sz w:val="20"/>
          <w:szCs w:val="20"/>
        </w:rPr>
        <w:t>Unesp</w:t>
      </w:r>
      <w:proofErr w:type="spellEnd"/>
      <w:proofErr w:type="gramEnd"/>
      <w:r w:rsidRPr="00DA68EF">
        <w:rPr>
          <w:rFonts w:ascii="Verdana" w:hAnsi="Verdana"/>
          <w:sz w:val="20"/>
          <w:szCs w:val="20"/>
        </w:rPr>
        <w:t xml:space="preserve"> - e às federais do Rio de Janeiro (UFRJ) e do Rio Grande do Sul (UFRGS), que aparecem em rankings mundiais de excelência.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As sete federais mineiras envolvidas no processo de unificação têm notas elevadas no sistema de avaliação de qualidade do MEC, o que aumenta as chances de reconhecimento internacional. Arquitetura e Urbanismo na UFV e Biologia na </w:t>
      </w:r>
      <w:proofErr w:type="spellStart"/>
      <w:r w:rsidRPr="00DA68EF">
        <w:rPr>
          <w:rFonts w:ascii="Verdana" w:hAnsi="Verdana"/>
          <w:sz w:val="20"/>
          <w:szCs w:val="20"/>
        </w:rPr>
        <w:t>Ufla</w:t>
      </w:r>
      <w:proofErr w:type="spellEnd"/>
      <w:r w:rsidRPr="00DA68EF">
        <w:rPr>
          <w:rFonts w:ascii="Verdana" w:hAnsi="Verdana"/>
          <w:sz w:val="20"/>
          <w:szCs w:val="20"/>
        </w:rPr>
        <w:t xml:space="preserve"> estão entre os três mais bem avaliados pelo ministério. Por outro lado, há cursos com péssimo desempenho: ciências da </w:t>
      </w:r>
      <w:proofErr w:type="gramStart"/>
      <w:r w:rsidRPr="00DA68EF">
        <w:rPr>
          <w:rFonts w:ascii="Verdana" w:hAnsi="Verdana"/>
          <w:sz w:val="20"/>
          <w:szCs w:val="20"/>
        </w:rPr>
        <w:t>computação</w:t>
      </w:r>
      <w:proofErr w:type="gramEnd"/>
      <w:r w:rsidRPr="00DA68EF">
        <w:rPr>
          <w:rFonts w:ascii="Verdana" w:hAnsi="Verdana"/>
          <w:sz w:val="20"/>
          <w:szCs w:val="20"/>
        </w:rPr>
        <w:t xml:space="preserve"> na </w:t>
      </w:r>
      <w:proofErr w:type="spellStart"/>
      <w:r w:rsidRPr="00DA68EF">
        <w:rPr>
          <w:rFonts w:ascii="Verdana" w:hAnsi="Verdana"/>
          <w:sz w:val="20"/>
          <w:szCs w:val="20"/>
        </w:rPr>
        <w:t>Ufla</w:t>
      </w:r>
      <w:proofErr w:type="spellEnd"/>
      <w:r w:rsidRPr="00DA68EF">
        <w:rPr>
          <w:rFonts w:ascii="Verdana" w:hAnsi="Verdana"/>
          <w:sz w:val="20"/>
          <w:szCs w:val="20"/>
        </w:rPr>
        <w:t xml:space="preserve"> está em 666ª posição no ranking do Exame Nacional de Desempenho de Estudantes (</w:t>
      </w:r>
      <w:proofErr w:type="spellStart"/>
      <w:r w:rsidRPr="00DA68EF">
        <w:rPr>
          <w:rFonts w:ascii="Verdana" w:hAnsi="Verdana"/>
          <w:sz w:val="20"/>
          <w:szCs w:val="20"/>
        </w:rPr>
        <w:t>Enade</w:t>
      </w:r>
      <w:proofErr w:type="spellEnd"/>
      <w:r w:rsidRPr="00DA68EF">
        <w:rPr>
          <w:rFonts w:ascii="Verdana" w:hAnsi="Verdana"/>
          <w:sz w:val="20"/>
          <w:szCs w:val="20"/>
        </w:rPr>
        <w:t>).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O formato de </w:t>
      </w:r>
      <w:proofErr w:type="spellStart"/>
      <w:r w:rsidRPr="00DA68EF">
        <w:rPr>
          <w:rFonts w:ascii="Verdana" w:hAnsi="Verdana"/>
          <w:sz w:val="20"/>
          <w:szCs w:val="20"/>
        </w:rPr>
        <w:t>superuniversidade</w:t>
      </w:r>
      <w:proofErr w:type="spellEnd"/>
      <w:r w:rsidRPr="00DA68EF">
        <w:rPr>
          <w:rFonts w:ascii="Verdana" w:hAnsi="Verdana"/>
          <w:sz w:val="20"/>
          <w:szCs w:val="20"/>
        </w:rPr>
        <w:t xml:space="preserve"> também traz ganhos de escala à instituição, que passa a ter maior capacidade de atrair investimentos - para pesquisa e novos laboratórios, por exemplo -, simplificar processos e gestão racional de recursos. Um colégio de reitores, com presidência rotativa, responderá pela administração do consórcio.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>Para o reitor da Universidade Federal de Viçosa, Luiz Cláudio Costa, os alunos sairão ganhando com a integração acadêmica. "O estudante em Lavras poderá transferir créditos e fazer uma disciplina no campus de Viçosa ou Ouro Preto ou ampliar seu campo de pesquisa, com acesso a uma estrutura muito maior de professores e laboratórios", prevê.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A localização geográfica também pesou na decisão de aglutinar as universidades mineiras, que estão instaladas em 17 cidades situadas em um raio de 200 a 300 quilômetros de distância. Segundo Haddad, o modelo de </w:t>
      </w:r>
      <w:proofErr w:type="spellStart"/>
      <w:r w:rsidRPr="00DA68EF">
        <w:rPr>
          <w:rFonts w:ascii="Verdana" w:hAnsi="Verdana"/>
          <w:sz w:val="20"/>
          <w:szCs w:val="20"/>
        </w:rPr>
        <w:t>superuniversidade</w:t>
      </w:r>
      <w:proofErr w:type="spellEnd"/>
      <w:r w:rsidRPr="00DA68EF">
        <w:rPr>
          <w:rFonts w:ascii="Verdana" w:hAnsi="Verdana"/>
          <w:sz w:val="20"/>
          <w:szCs w:val="20"/>
        </w:rPr>
        <w:t xml:space="preserve"> tem espaço para ser copiado no interior do Rio Grande do Sul e Paraná, onde funcionam pelo menos oito instituições de ensino federais.</w:t>
      </w: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A68EF" w:rsidRPr="00DA68EF" w:rsidRDefault="00DA68EF" w:rsidP="00DA68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A68EF">
        <w:rPr>
          <w:rFonts w:ascii="Verdana" w:hAnsi="Verdana"/>
          <w:sz w:val="20"/>
          <w:szCs w:val="20"/>
        </w:rPr>
        <w:t xml:space="preserve">No momento, os reitores das sete federais elaboram o plano de desenvolvimento institucional (PDI) do consórcio, que orienta a atuação pedagógica de todo estabelecimento de ensino superior em operação no país. O documento, que será apresentado ao MEC em 15 de outubro, vai enfatizar a integração acadêmica, reforçando as principais atividades de cada federal. Viçosa e Lavras se destacam nas ciências agrárias, </w:t>
      </w:r>
      <w:proofErr w:type="gramStart"/>
      <w:r w:rsidRPr="00DA68EF">
        <w:rPr>
          <w:rFonts w:ascii="Verdana" w:hAnsi="Verdana"/>
          <w:sz w:val="20"/>
          <w:szCs w:val="20"/>
        </w:rPr>
        <w:t>Alfenas foca</w:t>
      </w:r>
      <w:proofErr w:type="gramEnd"/>
      <w:r w:rsidRPr="00DA68EF">
        <w:rPr>
          <w:rFonts w:ascii="Verdana" w:hAnsi="Verdana"/>
          <w:sz w:val="20"/>
          <w:szCs w:val="20"/>
        </w:rPr>
        <w:t xml:space="preserve"> o setor da saúde, com seus cursos de medicina e enfermagem, e Itajubá é reconhecida pela cobertura da área de tecnologia. "No consórcio, essas áreas serão abrangidas de modo complementar, o todo será maior que as partes", explica Costa.</w:t>
      </w:r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2BAD" w:rsidRDefault="00BA2BAD" w:rsidP="00BA2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03900" cy="3378200"/>
            <wp:effectExtent l="1905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AD" w:rsidRPr="00730621" w:rsidRDefault="00BA2BAD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DA68EF">
        <w:rPr>
          <w:rFonts w:ascii="Verdana" w:hAnsi="Verdana"/>
          <w:b/>
          <w:sz w:val="20"/>
          <w:szCs w:val="20"/>
        </w:rPr>
        <w:t>5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DA68EF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DA68EF">
        <w:rPr>
          <w:rFonts w:ascii="Verdana" w:hAnsi="Verdana"/>
          <w:b/>
          <w:sz w:val="20"/>
          <w:szCs w:val="20"/>
        </w:rPr>
        <w:t>A4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1771D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A4262"/>
    <w:rsid w:val="00AD7BF7"/>
    <w:rsid w:val="00B05678"/>
    <w:rsid w:val="00B36F4B"/>
    <w:rsid w:val="00BA2BAD"/>
    <w:rsid w:val="00BA4F02"/>
    <w:rsid w:val="00BD71DC"/>
    <w:rsid w:val="00BF2046"/>
    <w:rsid w:val="00C34177"/>
    <w:rsid w:val="00C91A71"/>
    <w:rsid w:val="00CB0744"/>
    <w:rsid w:val="00D9017A"/>
    <w:rsid w:val="00DA68EF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dcterms:created xsi:type="dcterms:W3CDTF">2010-08-05T13:49:00Z</dcterms:created>
  <dcterms:modified xsi:type="dcterms:W3CDTF">2010-08-05T14:32:00Z</dcterms:modified>
</cp:coreProperties>
</file>