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F6DF1">
        <w:rPr>
          <w:rFonts w:ascii="Verdana" w:hAnsi="Verdana"/>
          <w:b/>
          <w:sz w:val="20"/>
          <w:szCs w:val="20"/>
        </w:rPr>
        <w:t>Q</w:t>
      </w:r>
      <w:r w:rsidRPr="005F6DF1">
        <w:rPr>
          <w:rFonts w:ascii="Verdana" w:hAnsi="Verdana"/>
          <w:b/>
          <w:sz w:val="20"/>
          <w:szCs w:val="20"/>
        </w:rPr>
        <w:t>ual internacionalização?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F6DF1">
        <w:rPr>
          <w:rFonts w:ascii="Verdana" w:hAnsi="Verdana"/>
          <w:i/>
          <w:sz w:val="20"/>
          <w:szCs w:val="20"/>
        </w:rPr>
        <w:t xml:space="preserve">Glauco </w:t>
      </w:r>
      <w:proofErr w:type="spellStart"/>
      <w:r w:rsidRPr="005F6DF1">
        <w:rPr>
          <w:rFonts w:ascii="Verdana" w:hAnsi="Verdana"/>
          <w:i/>
          <w:sz w:val="20"/>
          <w:szCs w:val="20"/>
        </w:rPr>
        <w:t>Arbix</w:t>
      </w:r>
      <w:proofErr w:type="spellEnd"/>
      <w:r w:rsidRPr="005F6DF1">
        <w:rPr>
          <w:rFonts w:ascii="Verdana" w:hAnsi="Verdana"/>
          <w:i/>
          <w:sz w:val="20"/>
          <w:szCs w:val="20"/>
        </w:rPr>
        <w:t xml:space="preserve"> e Luiz Caseiro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F6DF1">
        <w:rPr>
          <w:rFonts w:ascii="Verdana" w:hAnsi="Verdana"/>
          <w:i/>
          <w:sz w:val="20"/>
          <w:szCs w:val="20"/>
        </w:rPr>
        <w:t>A primeira onda projetou no cenário internacional os tigres asiáticos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F6DF1">
        <w:rPr>
          <w:rFonts w:ascii="Verdana" w:hAnsi="Verdana"/>
          <w:i/>
          <w:sz w:val="20"/>
          <w:szCs w:val="20"/>
        </w:rPr>
        <w:t xml:space="preserve">Movimento de internacionalização reforça o </w:t>
      </w:r>
      <w:proofErr w:type="spellStart"/>
      <w:r w:rsidRPr="005F6DF1">
        <w:rPr>
          <w:rFonts w:ascii="Verdana" w:hAnsi="Verdana"/>
          <w:i/>
          <w:sz w:val="20"/>
          <w:szCs w:val="20"/>
        </w:rPr>
        <w:t>protagonismo</w:t>
      </w:r>
      <w:proofErr w:type="spellEnd"/>
      <w:r w:rsidRPr="005F6DF1">
        <w:rPr>
          <w:rFonts w:ascii="Verdana" w:hAnsi="Verdana"/>
          <w:i/>
          <w:sz w:val="20"/>
          <w:szCs w:val="20"/>
        </w:rPr>
        <w:t xml:space="preserve"> dos países emergentes no redesenho do mundo dos negócios e da geopolítica internacional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Algumas das principais multinacionais brasileiras - como a Gerdau, Votorantim, Braskem e </w:t>
      </w:r>
      <w:proofErr w:type="spellStart"/>
      <w:r w:rsidRPr="005F6DF1">
        <w:rPr>
          <w:rFonts w:ascii="Verdana" w:hAnsi="Verdana"/>
          <w:sz w:val="20"/>
          <w:szCs w:val="20"/>
        </w:rPr>
        <w:t>Marfrig</w:t>
      </w:r>
      <w:proofErr w:type="spellEnd"/>
      <w:r w:rsidRPr="005F6DF1">
        <w:rPr>
          <w:rFonts w:ascii="Verdana" w:hAnsi="Verdana"/>
          <w:sz w:val="20"/>
          <w:szCs w:val="20"/>
        </w:rPr>
        <w:t xml:space="preserve"> - voltaram a se movimentar agressivamente, após um período de cautela no ano passado. O volume investido pelas empresas brasileiras em aquisições no exterior de janeiro a maio já soma US$ 11,16 bilhões. Esse é um recorde de aquisições realizadas por empresas brasileiras no exterior.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A mais recente onda de internacionalização de empresas de países em desenvolvimento mostra-se tão ou mais agressiva do que a primeira, que projetou no cenário internacional os tigres asiáticos.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>O Brasil desponta nesse grupo em clara ruptura com um histórico de orientação para o mercado interno. Pela trajetória recente, o esforço pela internacionalização foi incorporado como estratégia corporativa, ainda que restrita a um universo seleto de empresas. Mais ainda, dados da Pesquisa Industrial de Inovação Tecnológica (</w:t>
      </w:r>
      <w:proofErr w:type="spellStart"/>
      <w:r w:rsidRPr="005F6DF1">
        <w:rPr>
          <w:rFonts w:ascii="Verdana" w:hAnsi="Verdana"/>
          <w:sz w:val="20"/>
          <w:szCs w:val="20"/>
        </w:rPr>
        <w:t>Pintec</w:t>
      </w:r>
      <w:proofErr w:type="spellEnd"/>
      <w:r w:rsidRPr="005F6DF1">
        <w:rPr>
          <w:rFonts w:ascii="Verdana" w:hAnsi="Verdana"/>
          <w:sz w:val="20"/>
          <w:szCs w:val="20"/>
        </w:rPr>
        <w:t>, do IBGE) realçam que as empresas que inovam foram as que mais se internacionalizaram.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Para essas multinacionais, a demanda dos novos mercados exige um esforço contínuo de elevação da qualidade de seus processos, produtos e serviços. Esse padrão superior tende a se reproduzir em sua rede de fornecedores, o que potencializa os impactos positivos no conjunto da economia.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Do ponto de vista da economia política, a consolidação de multinacionais de países emergentes contribui para aumentar seu poder de negociação e barganha e, dessa forma, reposicioná-los na arena internacional. Isso significa que o movimento de internacionalização, além de gerar corporações mais robustas e ágeis, reforça o novo </w:t>
      </w:r>
      <w:proofErr w:type="spellStart"/>
      <w:r w:rsidRPr="005F6DF1">
        <w:rPr>
          <w:rFonts w:ascii="Verdana" w:hAnsi="Verdana"/>
          <w:sz w:val="20"/>
          <w:szCs w:val="20"/>
        </w:rPr>
        <w:t>protagonismo</w:t>
      </w:r>
      <w:proofErr w:type="spellEnd"/>
      <w:r w:rsidRPr="005F6DF1">
        <w:rPr>
          <w:rFonts w:ascii="Verdana" w:hAnsi="Verdana"/>
          <w:sz w:val="20"/>
          <w:szCs w:val="20"/>
        </w:rPr>
        <w:t xml:space="preserve"> dos países emergentes e introduz novos ingredientes no redesenho do mundo dos negócios e da geopolítica internacional.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Por captarem os potenciais benefícios que a internacionalização das empresas pode gerar, governos de muitos países emergentes elaboraram políticas públicas específicas para estimular esse processo, de modo a diminuir riscos e </w:t>
      </w:r>
      <w:proofErr w:type="gramStart"/>
      <w:r w:rsidRPr="005F6DF1">
        <w:rPr>
          <w:rFonts w:ascii="Verdana" w:hAnsi="Verdana"/>
          <w:sz w:val="20"/>
          <w:szCs w:val="20"/>
        </w:rPr>
        <w:t>otimizar</w:t>
      </w:r>
      <w:proofErr w:type="gramEnd"/>
      <w:r w:rsidRPr="005F6DF1">
        <w:rPr>
          <w:rFonts w:ascii="Verdana" w:hAnsi="Verdana"/>
          <w:sz w:val="20"/>
          <w:szCs w:val="20"/>
        </w:rPr>
        <w:t xml:space="preserve"> o impacto da atuação dessas corporações e elevar o padrão de competitividade de suas economias.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Nesse sentido, desde 2004, a China conta com uma política agressiva de estímulo à internacionalização de suas empresas, o </w:t>
      </w:r>
      <w:proofErr w:type="spellStart"/>
      <w:proofErr w:type="gramStart"/>
      <w:r w:rsidRPr="005F6DF1">
        <w:rPr>
          <w:rFonts w:ascii="Verdana" w:hAnsi="Verdana"/>
          <w:sz w:val="20"/>
          <w:szCs w:val="20"/>
        </w:rPr>
        <w:t>Go</w:t>
      </w:r>
      <w:proofErr w:type="spellEnd"/>
      <w:proofErr w:type="gramEnd"/>
      <w:r w:rsidRPr="005F6DF1">
        <w:rPr>
          <w:rFonts w:ascii="Verdana" w:hAnsi="Verdana"/>
          <w:sz w:val="20"/>
          <w:szCs w:val="20"/>
        </w:rPr>
        <w:t xml:space="preserve"> Global. O </w:t>
      </w:r>
      <w:proofErr w:type="spellStart"/>
      <w:proofErr w:type="gramStart"/>
      <w:r w:rsidRPr="005F6DF1">
        <w:rPr>
          <w:rFonts w:ascii="Verdana" w:hAnsi="Verdana"/>
          <w:sz w:val="20"/>
          <w:szCs w:val="20"/>
        </w:rPr>
        <w:t>EximBank</w:t>
      </w:r>
      <w:proofErr w:type="spellEnd"/>
      <w:proofErr w:type="gramEnd"/>
      <w:r w:rsidRPr="005F6DF1">
        <w:rPr>
          <w:rFonts w:ascii="Verdana" w:hAnsi="Verdana"/>
          <w:sz w:val="20"/>
          <w:szCs w:val="20"/>
        </w:rPr>
        <w:t xml:space="preserve"> chinês oferece crédito subsidiado para projetos no exterior que atendam ao menos um dentre quatro objetivos: 1) obter recursos naturais escassos no país; 2) propiciar o desenvolvimento tecnológico das firmas; 3) aumentar as exportações; e 4) fortalecer os laços de política externa com países estratégicos. No campo diplomático, assinou acordos de proteção mútua de investimentos com 115 países e com 89 para evitar a bitributação - problema presente no Brasil. Como suporte público, qualquer empresa chinesa pode acessar uma rede online com informações sobre negócios e oportunidades de aquisições no exterior, em especial de empresas de base tecnológica.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Ainda que timidamente, o Brasil também deu passos na mesma direção. Desde 2005, o governo </w:t>
      </w:r>
      <w:proofErr w:type="spellStart"/>
      <w:r w:rsidRPr="005F6DF1">
        <w:rPr>
          <w:rFonts w:ascii="Verdana" w:hAnsi="Verdana"/>
          <w:sz w:val="20"/>
          <w:szCs w:val="20"/>
        </w:rPr>
        <w:t>apoia</w:t>
      </w:r>
      <w:proofErr w:type="spellEnd"/>
      <w:r w:rsidRPr="005F6DF1">
        <w:rPr>
          <w:rFonts w:ascii="Verdana" w:hAnsi="Verdana"/>
          <w:sz w:val="20"/>
          <w:szCs w:val="20"/>
        </w:rPr>
        <w:t xml:space="preserve"> a internacionalização das empresas por meio do BNDES, dos Centros de Negócios da </w:t>
      </w:r>
      <w:proofErr w:type="spellStart"/>
      <w:r w:rsidRPr="005F6DF1">
        <w:rPr>
          <w:rFonts w:ascii="Verdana" w:hAnsi="Verdana"/>
          <w:sz w:val="20"/>
          <w:szCs w:val="20"/>
        </w:rPr>
        <w:t>Apex</w:t>
      </w:r>
      <w:proofErr w:type="spellEnd"/>
      <w:r w:rsidRPr="005F6DF1">
        <w:rPr>
          <w:rFonts w:ascii="Verdana" w:hAnsi="Verdana"/>
          <w:sz w:val="20"/>
          <w:szCs w:val="20"/>
        </w:rPr>
        <w:t xml:space="preserve"> e do Banco do Brasil. Essas iniciativas representam uma inflexão positiva na política industrial brasileira. Porém muito ainda pode ser feito no campo tributário, financeiro, diplomático e na construção de uma rede internacional capaz de captar tendências e difundir informações sobre oportunidades para empresas brasileiras no exterior.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lastRenderedPageBreak/>
        <w:t xml:space="preserve">Como a busca pela elevação do patamar tecnológico e de inovação das empresas brasileiras é chave para o país, é essencial que o investimento público entre em sintonia com as prioridades da política industrial e tecnológica - seja da Política de Desenvolvimento Produtivo, seja do Plano Nacional de Ciência e Tecnologia. Isso porque, quanto mais a construção de multinacionais brasileiras estiver limitada aos setores pouco intensivos em conhecimento, menor será o potencial de impacto positivo em outros ramos da economia.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Claro que a atuação do setor público não se fará ao arrepio do setor privado. Como o Brasil amadureceu, </w:t>
      </w:r>
      <w:proofErr w:type="gramStart"/>
      <w:r w:rsidRPr="005F6DF1">
        <w:rPr>
          <w:rFonts w:ascii="Verdana" w:hAnsi="Verdana"/>
          <w:sz w:val="20"/>
          <w:szCs w:val="20"/>
        </w:rPr>
        <w:t>construiu</w:t>
      </w:r>
      <w:proofErr w:type="gramEnd"/>
      <w:r w:rsidRPr="005F6DF1">
        <w:rPr>
          <w:rFonts w:ascii="Verdana" w:hAnsi="Verdana"/>
          <w:sz w:val="20"/>
          <w:szCs w:val="20"/>
        </w:rPr>
        <w:t xml:space="preserve"> instituições e uma economia diversificada, o dirigismo estatal dos anos 50 e 60 é tão impossível quanto indesejável. Mas nem por isso a atuação do Estado deixou de ser essencial, principalmente pelo seu poder de articulação dos agentes econômicos em torno de novas estratégias para o país.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As políticas industriais que tiveram êxito na promoção de transformações relevantes em diversos países emergentes primaram pelo foco na construção de novas competências, de absorção e geração de tecnologia e na elevação da competitividade da economia. Foi assim na experiência japonesa e na coreana.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A título de ilustração, a chinesa </w:t>
      </w:r>
      <w:proofErr w:type="spellStart"/>
      <w:r w:rsidRPr="005F6DF1">
        <w:rPr>
          <w:rFonts w:ascii="Verdana" w:hAnsi="Verdana"/>
          <w:sz w:val="20"/>
          <w:szCs w:val="20"/>
        </w:rPr>
        <w:t>Geely</w:t>
      </w:r>
      <w:proofErr w:type="spellEnd"/>
      <w:r w:rsidRPr="005F6DF1">
        <w:rPr>
          <w:rFonts w:ascii="Verdana" w:hAnsi="Verdana"/>
          <w:sz w:val="20"/>
          <w:szCs w:val="20"/>
        </w:rPr>
        <w:t xml:space="preserve">, até recentemente uma fabricante de geladeiras, contou com apoio do governo para comprar neste ano a montadora Volvo (controlada pela Ford) por US$ 1,8 bilhão, valor correspondente a cerca de 40% dos desembolsos do BNDES para a internacionalização dos frigoríficos JBS Friboi e </w:t>
      </w:r>
      <w:proofErr w:type="spellStart"/>
      <w:r w:rsidRPr="005F6DF1">
        <w:rPr>
          <w:rFonts w:ascii="Verdana" w:hAnsi="Verdana"/>
          <w:sz w:val="20"/>
          <w:szCs w:val="20"/>
        </w:rPr>
        <w:t>Bertin</w:t>
      </w:r>
      <w:proofErr w:type="spellEnd"/>
      <w:r w:rsidRPr="005F6DF1">
        <w:rPr>
          <w:rFonts w:ascii="Verdana" w:hAnsi="Verdana"/>
          <w:sz w:val="20"/>
          <w:szCs w:val="20"/>
        </w:rPr>
        <w:t>.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A crise econômica mundial, que derrubou o valor de mercado de muitas empresas </w:t>
      </w:r>
      <w:proofErr w:type="spellStart"/>
      <w:r w:rsidRPr="005F6DF1">
        <w:rPr>
          <w:rFonts w:ascii="Verdana" w:hAnsi="Verdana"/>
          <w:sz w:val="20"/>
          <w:szCs w:val="20"/>
        </w:rPr>
        <w:t>europeias</w:t>
      </w:r>
      <w:proofErr w:type="spellEnd"/>
      <w:r w:rsidRPr="005F6DF1">
        <w:rPr>
          <w:rFonts w:ascii="Verdana" w:hAnsi="Verdana"/>
          <w:sz w:val="20"/>
          <w:szCs w:val="20"/>
        </w:rPr>
        <w:t xml:space="preserve"> e americanas, gera oportunidades para os países emergentes adquirirem empresas com densidade tecnológica, encurtando as rotas de sua capacitação e desenvolvimento. </w:t>
      </w: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F6DF1" w:rsidRPr="005F6DF1" w:rsidRDefault="005F6DF1" w:rsidP="005F6DF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F6DF1">
        <w:rPr>
          <w:rFonts w:ascii="Verdana" w:hAnsi="Verdana"/>
          <w:sz w:val="20"/>
          <w:szCs w:val="20"/>
        </w:rPr>
        <w:t xml:space="preserve">Às empresas brasileiras não faltam músculos nem dinamismo. É fundamental que seu apetite empreendedor entre em sintonia com esforço do país para elevar o padrão de tecnologia, produtividade e de competitividade da nossa economia. A atuação clara das instituições de Estado nessa direção é urgente. 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5F6DF1">
        <w:rPr>
          <w:rFonts w:ascii="Verdana" w:hAnsi="Verdana"/>
          <w:b/>
          <w:sz w:val="20"/>
          <w:szCs w:val="20"/>
        </w:rPr>
        <w:t>5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5F6DF1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5F6DF1">
        <w:rPr>
          <w:rFonts w:ascii="Verdana" w:hAnsi="Verdana"/>
          <w:b/>
          <w:sz w:val="20"/>
          <w:szCs w:val="20"/>
        </w:rPr>
        <w:t>A14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5F6DF1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4776F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2010-08-05T13:58:00Z</dcterms:created>
  <dcterms:modified xsi:type="dcterms:W3CDTF">2010-08-05T13:58:00Z</dcterms:modified>
</cp:coreProperties>
</file>