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5B" w:rsidRPr="0090675B" w:rsidRDefault="0090675B" w:rsidP="0090675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0675B">
        <w:rPr>
          <w:rFonts w:ascii="Verdana" w:hAnsi="Verdana"/>
          <w:b/>
          <w:sz w:val="20"/>
          <w:szCs w:val="20"/>
        </w:rPr>
        <w:t>Na América Latina, cervejarias líderes têm até 98% das vendas</w:t>
      </w:r>
    </w:p>
    <w:p w:rsidR="0090675B" w:rsidRPr="0090675B" w:rsidRDefault="0090675B" w:rsidP="0090675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90675B">
        <w:rPr>
          <w:rFonts w:ascii="Verdana" w:hAnsi="Verdana"/>
          <w:i/>
          <w:sz w:val="20"/>
          <w:szCs w:val="20"/>
        </w:rPr>
        <w:t>Lílian Cunha</w:t>
      </w:r>
    </w:p>
    <w:p w:rsidR="0090675B" w:rsidRPr="0090675B" w:rsidRDefault="0090675B" w:rsidP="0090675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0675B">
        <w:rPr>
          <w:rFonts w:ascii="Verdana" w:hAnsi="Verdana"/>
          <w:sz w:val="20"/>
          <w:szCs w:val="20"/>
        </w:rPr>
        <w:t xml:space="preserve"> </w:t>
      </w:r>
    </w:p>
    <w:p w:rsidR="0090675B" w:rsidRPr="0090675B" w:rsidRDefault="0090675B" w:rsidP="0090675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0675B">
        <w:rPr>
          <w:rFonts w:ascii="Verdana" w:hAnsi="Verdana"/>
          <w:sz w:val="20"/>
          <w:szCs w:val="20"/>
        </w:rPr>
        <w:t xml:space="preserve">Um mercado maior que os Estados Unidos, mas extremamente concentrado e sujeito a variações que vão desde fatores culturais à interferência de narcotraficantes. Esse é o panorama do consumo de cerveja nos nove maiores países da América Latina em vendas da bebida. Juntos, Brasil, México, Venezuela, Argentina, Colômbia, Peru, Chile, Bolívia e Uruguai somam 26 bilhões de litros consumidos em 2009, segundo dados da </w:t>
      </w:r>
      <w:proofErr w:type="spellStart"/>
      <w:r w:rsidRPr="0090675B">
        <w:rPr>
          <w:rFonts w:ascii="Verdana" w:hAnsi="Verdana"/>
          <w:sz w:val="20"/>
          <w:szCs w:val="20"/>
        </w:rPr>
        <w:t>Euromonitor</w:t>
      </w:r>
      <w:proofErr w:type="spellEnd"/>
      <w:r w:rsidRPr="0090675B">
        <w:rPr>
          <w:rFonts w:ascii="Verdana" w:hAnsi="Verdana"/>
          <w:sz w:val="20"/>
          <w:szCs w:val="20"/>
        </w:rPr>
        <w:t xml:space="preserve">. São quase </w:t>
      </w:r>
      <w:proofErr w:type="gramStart"/>
      <w:r w:rsidRPr="0090675B">
        <w:rPr>
          <w:rFonts w:ascii="Verdana" w:hAnsi="Verdana"/>
          <w:sz w:val="20"/>
          <w:szCs w:val="20"/>
        </w:rPr>
        <w:t>4</w:t>
      </w:r>
      <w:proofErr w:type="gramEnd"/>
      <w:r w:rsidRPr="0090675B">
        <w:rPr>
          <w:rFonts w:ascii="Verdana" w:hAnsi="Verdana"/>
          <w:sz w:val="20"/>
          <w:szCs w:val="20"/>
        </w:rPr>
        <w:t xml:space="preserve"> bilhões de litros a mais que os 22,9 bilhões vendidos no ano passado nos EUA. Além do tamanho, o mercado latino-americano tem outra grande vantagem: está em crescimento, ao contrário do que ocorre com boa parte dos maiores consumidores mundiais da bebida.</w:t>
      </w:r>
    </w:p>
    <w:p w:rsidR="0090675B" w:rsidRPr="0090675B" w:rsidRDefault="0090675B" w:rsidP="0090675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0675B" w:rsidRPr="0090675B" w:rsidRDefault="0090675B" w:rsidP="0090675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0675B">
        <w:rPr>
          <w:rFonts w:ascii="Verdana" w:hAnsi="Verdana"/>
          <w:sz w:val="20"/>
          <w:szCs w:val="20"/>
        </w:rPr>
        <w:t xml:space="preserve">No ano passado, o volume de vendas de cerveja nos EUA caiu 2,1%. Na Europa ocidental, a queda foi de 4,9%. Na Rússia, o tombo chegou a 13,1%. Na China, o declínio ficou em 2,4%. Na América Latina, entretanto, dos nove maiores mercados, oito tiveram taxas positivas em 2009 em relação ao ano anterior. O México - única exceção - sente a crise por conta de sua dependência dos Estados Unidos. </w:t>
      </w:r>
    </w:p>
    <w:p w:rsidR="0090675B" w:rsidRPr="0090675B" w:rsidRDefault="0090675B" w:rsidP="0090675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0675B" w:rsidRPr="0090675B" w:rsidRDefault="0090675B" w:rsidP="0090675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0675B">
        <w:rPr>
          <w:rFonts w:ascii="Verdana" w:hAnsi="Verdana"/>
          <w:sz w:val="20"/>
          <w:szCs w:val="20"/>
        </w:rPr>
        <w:t xml:space="preserve">Mas nas outras nações latino-americanas, as vendas estão em ascensão. "Basicamente esses mercados vivem a mesma situação do Brasil: vendas em alta graças à melhora da renda das classes mais baixas", afirma Adalberto </w:t>
      </w:r>
      <w:proofErr w:type="spellStart"/>
      <w:r w:rsidRPr="0090675B">
        <w:rPr>
          <w:rFonts w:ascii="Verdana" w:hAnsi="Verdana"/>
          <w:sz w:val="20"/>
          <w:szCs w:val="20"/>
        </w:rPr>
        <w:t>Viviani</w:t>
      </w:r>
      <w:proofErr w:type="spellEnd"/>
      <w:r w:rsidRPr="0090675B">
        <w:rPr>
          <w:rFonts w:ascii="Verdana" w:hAnsi="Verdana"/>
          <w:sz w:val="20"/>
          <w:szCs w:val="20"/>
        </w:rPr>
        <w:t xml:space="preserve">, consultor especializado no setor de cervejas, que já trabalhou para empresas no Peru, na Colômbia e na Argentina. As maiores taxas de crescimento foram registradas na Bolívia (8,06%), no Brasil (6,93%) e no Peru (6,4%). Na Colômbia, o consumo de cervejas duplicou entre 2006 e 2008. No ano passado, entretanto, o avanço foi menor: 0,4%, conforme a </w:t>
      </w:r>
      <w:proofErr w:type="spellStart"/>
      <w:r w:rsidRPr="0090675B">
        <w:rPr>
          <w:rFonts w:ascii="Verdana" w:hAnsi="Verdana"/>
          <w:sz w:val="20"/>
          <w:szCs w:val="20"/>
        </w:rPr>
        <w:t>Euromonitor</w:t>
      </w:r>
      <w:proofErr w:type="spellEnd"/>
      <w:r w:rsidRPr="0090675B">
        <w:rPr>
          <w:rFonts w:ascii="Verdana" w:hAnsi="Verdana"/>
          <w:sz w:val="20"/>
          <w:szCs w:val="20"/>
        </w:rPr>
        <w:t xml:space="preserve">. </w:t>
      </w:r>
    </w:p>
    <w:p w:rsidR="0090675B" w:rsidRPr="0090675B" w:rsidRDefault="0090675B" w:rsidP="0090675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0675B" w:rsidRPr="0090675B" w:rsidRDefault="0090675B" w:rsidP="0090675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0675B">
        <w:rPr>
          <w:rFonts w:ascii="Verdana" w:hAnsi="Verdana"/>
          <w:sz w:val="20"/>
          <w:szCs w:val="20"/>
        </w:rPr>
        <w:t xml:space="preserve">Apesar desses bons números, se engana quem pensa que a América Latina é terreno fácil para o crescimento de novas marcas de cerveja. Uma de suas principais características é a concentração, uma vez que as marcas líderes dominam com participação variando entre 52% e 98%. Na Colômbia, por exemplo, a </w:t>
      </w:r>
      <w:proofErr w:type="spellStart"/>
      <w:proofErr w:type="gramStart"/>
      <w:r w:rsidRPr="0090675B">
        <w:rPr>
          <w:rFonts w:ascii="Verdana" w:hAnsi="Verdana"/>
          <w:sz w:val="20"/>
          <w:szCs w:val="20"/>
        </w:rPr>
        <w:t>SABMiller</w:t>
      </w:r>
      <w:proofErr w:type="spellEnd"/>
      <w:proofErr w:type="gramEnd"/>
      <w:r w:rsidRPr="0090675B">
        <w:rPr>
          <w:rFonts w:ascii="Verdana" w:hAnsi="Verdana"/>
          <w:sz w:val="20"/>
          <w:szCs w:val="20"/>
        </w:rPr>
        <w:t xml:space="preserve"> tem esmagadores 98% das vendas. A companhia britânica -- sócia majoritária da cervejaria </w:t>
      </w:r>
      <w:proofErr w:type="spellStart"/>
      <w:r w:rsidRPr="0090675B">
        <w:rPr>
          <w:rFonts w:ascii="Verdana" w:hAnsi="Verdana"/>
          <w:sz w:val="20"/>
          <w:szCs w:val="20"/>
        </w:rPr>
        <w:t>Backus</w:t>
      </w:r>
      <w:proofErr w:type="spellEnd"/>
      <w:r w:rsidRPr="0090675B">
        <w:rPr>
          <w:rFonts w:ascii="Verdana" w:hAnsi="Verdana"/>
          <w:sz w:val="20"/>
          <w:szCs w:val="20"/>
        </w:rPr>
        <w:t xml:space="preserve"> &amp; Johnston - também é dona de 89% das vendas no Peru. </w:t>
      </w:r>
    </w:p>
    <w:p w:rsidR="0090675B" w:rsidRPr="0090675B" w:rsidRDefault="0090675B" w:rsidP="0090675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0675B" w:rsidRPr="0090675B" w:rsidRDefault="0090675B" w:rsidP="0090675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0675B">
        <w:rPr>
          <w:rFonts w:ascii="Verdana" w:hAnsi="Verdana"/>
          <w:sz w:val="20"/>
          <w:szCs w:val="20"/>
        </w:rPr>
        <w:t xml:space="preserve">A </w:t>
      </w:r>
      <w:proofErr w:type="spellStart"/>
      <w:r w:rsidRPr="0090675B">
        <w:rPr>
          <w:rFonts w:ascii="Verdana" w:hAnsi="Verdana"/>
          <w:sz w:val="20"/>
          <w:szCs w:val="20"/>
        </w:rPr>
        <w:t>Ambev</w:t>
      </w:r>
      <w:proofErr w:type="spellEnd"/>
      <w:r w:rsidRPr="0090675B">
        <w:rPr>
          <w:rFonts w:ascii="Verdana" w:hAnsi="Verdana"/>
          <w:sz w:val="20"/>
          <w:szCs w:val="20"/>
        </w:rPr>
        <w:t xml:space="preserve">, por sua vez, controla boa parte das vendas no maior mercado, o Brasil, com cerca de 70% de participação e também domina na Argentina e no Uruguai, com 65% e 64% respectivamente. Só no Chile uma empresa nacional é líder: a </w:t>
      </w:r>
      <w:proofErr w:type="spellStart"/>
      <w:r w:rsidRPr="0090675B">
        <w:rPr>
          <w:rFonts w:ascii="Verdana" w:hAnsi="Verdana"/>
          <w:sz w:val="20"/>
          <w:szCs w:val="20"/>
        </w:rPr>
        <w:t>Cerveceria</w:t>
      </w:r>
      <w:proofErr w:type="spellEnd"/>
      <w:r w:rsidRPr="0090675B">
        <w:rPr>
          <w:rFonts w:ascii="Verdana" w:hAnsi="Verdana"/>
          <w:sz w:val="20"/>
          <w:szCs w:val="20"/>
        </w:rPr>
        <w:t xml:space="preserve"> CCU Chile. </w:t>
      </w:r>
    </w:p>
    <w:p w:rsidR="0090675B" w:rsidRPr="0090675B" w:rsidRDefault="0090675B" w:rsidP="0090675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0675B" w:rsidRPr="0090675B" w:rsidRDefault="0090675B" w:rsidP="0090675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0675B">
        <w:rPr>
          <w:rFonts w:ascii="Verdana" w:hAnsi="Verdana"/>
          <w:sz w:val="20"/>
          <w:szCs w:val="20"/>
        </w:rPr>
        <w:t xml:space="preserve">Com exceção do Brasil e do México, os países latino-americanos são vistos no setor como "gigantes anões", segundo </w:t>
      </w:r>
      <w:proofErr w:type="spellStart"/>
      <w:r w:rsidRPr="0090675B">
        <w:rPr>
          <w:rFonts w:ascii="Verdana" w:hAnsi="Verdana"/>
          <w:sz w:val="20"/>
          <w:szCs w:val="20"/>
        </w:rPr>
        <w:t>Viviani</w:t>
      </w:r>
      <w:proofErr w:type="spellEnd"/>
      <w:r w:rsidRPr="0090675B">
        <w:rPr>
          <w:rFonts w:ascii="Verdana" w:hAnsi="Verdana"/>
          <w:sz w:val="20"/>
          <w:szCs w:val="20"/>
        </w:rPr>
        <w:t>. "Eles têm grande potencial de crescimento, mas o nível de profissionalização é muito baixo. A distribuição não é consolidada e o marketing é ruim."</w:t>
      </w:r>
    </w:p>
    <w:p w:rsidR="0090675B" w:rsidRPr="0090675B" w:rsidRDefault="0090675B" w:rsidP="0090675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0675B" w:rsidRPr="0090675B" w:rsidRDefault="0090675B" w:rsidP="0090675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0675B">
        <w:rPr>
          <w:rFonts w:ascii="Verdana" w:hAnsi="Verdana"/>
          <w:sz w:val="20"/>
          <w:szCs w:val="20"/>
        </w:rPr>
        <w:t xml:space="preserve">Em muitos deles, as indústrias locais preferem trabalhar a imagem da cerveja como uma bebida tradicional, em vez de focar no público jovem. "Quando trabalhei no Peru, cheguei a ouvir que o jovem toma a cerveja que seu pai bebe. Isso é um absurdo. Foi por isso que a </w:t>
      </w:r>
      <w:proofErr w:type="spellStart"/>
      <w:r w:rsidRPr="0090675B">
        <w:rPr>
          <w:rFonts w:ascii="Verdana" w:hAnsi="Verdana"/>
          <w:sz w:val="20"/>
          <w:szCs w:val="20"/>
        </w:rPr>
        <w:t>Ambev</w:t>
      </w:r>
      <w:proofErr w:type="spellEnd"/>
      <w:r w:rsidRPr="0090675B">
        <w:rPr>
          <w:rFonts w:ascii="Verdana" w:hAnsi="Verdana"/>
          <w:sz w:val="20"/>
          <w:szCs w:val="20"/>
        </w:rPr>
        <w:t xml:space="preserve">, ao direcionar seu marketing para o consumidor mais novo, conseguiu ganhar 10% das vendas peruanas em apenas quatro anos", explica </w:t>
      </w:r>
      <w:proofErr w:type="spellStart"/>
      <w:r w:rsidRPr="0090675B">
        <w:rPr>
          <w:rFonts w:ascii="Verdana" w:hAnsi="Verdana"/>
          <w:sz w:val="20"/>
          <w:szCs w:val="20"/>
        </w:rPr>
        <w:t>Viviani</w:t>
      </w:r>
      <w:proofErr w:type="spellEnd"/>
      <w:r w:rsidRPr="0090675B">
        <w:rPr>
          <w:rFonts w:ascii="Verdana" w:hAnsi="Verdana"/>
          <w:sz w:val="20"/>
          <w:szCs w:val="20"/>
        </w:rPr>
        <w:t xml:space="preserve">. </w:t>
      </w:r>
    </w:p>
    <w:p w:rsidR="0090675B" w:rsidRPr="0090675B" w:rsidRDefault="0090675B" w:rsidP="0090675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0675B" w:rsidRPr="0090675B" w:rsidRDefault="0090675B" w:rsidP="0090675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0675B">
        <w:rPr>
          <w:rFonts w:ascii="Verdana" w:hAnsi="Verdana"/>
          <w:sz w:val="20"/>
          <w:szCs w:val="20"/>
        </w:rPr>
        <w:t xml:space="preserve">Além disso, os consumidores em cada país têm hábitos diferentes. No Brasil e na Argentina, por exemplo, mais da metade do consumo se dá em bares e restaurantes. Isso não ocorre na Colômbia e no Peru. Em outros países, como o próprio Peru, até mesmo a ação de narcotraficantes acaba influenciando o consumo. Em regiões sujeitas à violência desses grupos, como o vale do rio </w:t>
      </w:r>
      <w:proofErr w:type="spellStart"/>
      <w:r w:rsidRPr="0090675B">
        <w:rPr>
          <w:rFonts w:ascii="Verdana" w:hAnsi="Verdana"/>
          <w:sz w:val="20"/>
          <w:szCs w:val="20"/>
        </w:rPr>
        <w:t>Apurimac</w:t>
      </w:r>
      <w:proofErr w:type="spellEnd"/>
      <w:r w:rsidRPr="0090675B">
        <w:rPr>
          <w:rFonts w:ascii="Verdana" w:hAnsi="Verdana"/>
          <w:sz w:val="20"/>
          <w:szCs w:val="20"/>
        </w:rPr>
        <w:t xml:space="preserve"> y </w:t>
      </w:r>
      <w:proofErr w:type="spellStart"/>
      <w:r w:rsidRPr="0090675B">
        <w:rPr>
          <w:rFonts w:ascii="Verdana" w:hAnsi="Verdana"/>
          <w:sz w:val="20"/>
          <w:szCs w:val="20"/>
        </w:rPr>
        <w:t>Ene</w:t>
      </w:r>
      <w:proofErr w:type="spellEnd"/>
      <w:r w:rsidRPr="0090675B">
        <w:rPr>
          <w:rFonts w:ascii="Verdana" w:hAnsi="Verdana"/>
          <w:sz w:val="20"/>
          <w:szCs w:val="20"/>
        </w:rPr>
        <w:t xml:space="preserve">, próximo à cidade de </w:t>
      </w:r>
      <w:proofErr w:type="spellStart"/>
      <w:r w:rsidRPr="0090675B">
        <w:rPr>
          <w:rFonts w:ascii="Verdana" w:hAnsi="Verdana"/>
          <w:sz w:val="20"/>
          <w:szCs w:val="20"/>
        </w:rPr>
        <w:t>Ayacucho</w:t>
      </w:r>
      <w:proofErr w:type="spellEnd"/>
      <w:r w:rsidRPr="0090675B">
        <w:rPr>
          <w:rFonts w:ascii="Verdana" w:hAnsi="Verdana"/>
          <w:sz w:val="20"/>
          <w:szCs w:val="20"/>
        </w:rPr>
        <w:t xml:space="preserve">, no Sul do país, é comum que a população se recolha - e isso acaba diminuindo o consumo da bebida. </w:t>
      </w:r>
    </w:p>
    <w:p w:rsidR="00730621" w:rsidRPr="00015C78" w:rsidRDefault="005F539E" w:rsidP="00015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343249" cy="2031287"/>
            <wp:effectExtent l="19050" t="0" r="401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00" cy="2030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39E" w:rsidRPr="00730621" w:rsidRDefault="005F539E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r w:rsidR="0090675B">
        <w:rPr>
          <w:rFonts w:ascii="Verdana" w:hAnsi="Verdana"/>
          <w:b/>
          <w:sz w:val="20"/>
          <w:szCs w:val="20"/>
        </w:rPr>
        <w:t>25</w:t>
      </w:r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B36F4B">
        <w:rPr>
          <w:rFonts w:ascii="Verdana" w:hAnsi="Verdana"/>
          <w:b/>
          <w:sz w:val="20"/>
          <w:szCs w:val="20"/>
        </w:rPr>
        <w:t>Empresas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B36F4B">
        <w:rPr>
          <w:rFonts w:ascii="Verdana" w:hAnsi="Verdana"/>
          <w:b/>
          <w:sz w:val="20"/>
          <w:szCs w:val="20"/>
        </w:rPr>
        <w:t>B</w:t>
      </w:r>
      <w:r w:rsidR="0090675B">
        <w:rPr>
          <w:rFonts w:ascii="Verdana" w:hAnsi="Verdana"/>
          <w:b/>
          <w:sz w:val="20"/>
          <w:szCs w:val="20"/>
        </w:rPr>
        <w:t>3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15C78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3449AB"/>
    <w:rsid w:val="004379E6"/>
    <w:rsid w:val="004E0294"/>
    <w:rsid w:val="00504332"/>
    <w:rsid w:val="005425C4"/>
    <w:rsid w:val="00543D2A"/>
    <w:rsid w:val="00577C76"/>
    <w:rsid w:val="005F539E"/>
    <w:rsid w:val="00601160"/>
    <w:rsid w:val="00646BB4"/>
    <w:rsid w:val="00647719"/>
    <w:rsid w:val="006771E7"/>
    <w:rsid w:val="00730621"/>
    <w:rsid w:val="00742EC3"/>
    <w:rsid w:val="007A0B66"/>
    <w:rsid w:val="007B5154"/>
    <w:rsid w:val="007E3DFB"/>
    <w:rsid w:val="007E4AD9"/>
    <w:rsid w:val="00806F39"/>
    <w:rsid w:val="00864DC0"/>
    <w:rsid w:val="00886D30"/>
    <w:rsid w:val="008B7BA5"/>
    <w:rsid w:val="0090675B"/>
    <w:rsid w:val="009D33C0"/>
    <w:rsid w:val="00AD7BF7"/>
    <w:rsid w:val="00B05678"/>
    <w:rsid w:val="00B242DA"/>
    <w:rsid w:val="00B36F4B"/>
    <w:rsid w:val="00B77845"/>
    <w:rsid w:val="00B91ACB"/>
    <w:rsid w:val="00BA4F02"/>
    <w:rsid w:val="00BD71DC"/>
    <w:rsid w:val="00BF2046"/>
    <w:rsid w:val="00C26F62"/>
    <w:rsid w:val="00C34177"/>
    <w:rsid w:val="00C91A71"/>
    <w:rsid w:val="00CB0744"/>
    <w:rsid w:val="00D9017A"/>
    <w:rsid w:val="00DB0671"/>
    <w:rsid w:val="00DC6C83"/>
    <w:rsid w:val="00DE3993"/>
    <w:rsid w:val="00E02AE8"/>
    <w:rsid w:val="00E058AB"/>
    <w:rsid w:val="00E2763A"/>
    <w:rsid w:val="00E90B83"/>
    <w:rsid w:val="00E91849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nelci</cp:lastModifiedBy>
  <cp:revision>3</cp:revision>
  <cp:lastPrinted>2010-08-25T13:43:00Z</cp:lastPrinted>
  <dcterms:created xsi:type="dcterms:W3CDTF">2010-08-25T13:24:00Z</dcterms:created>
  <dcterms:modified xsi:type="dcterms:W3CDTF">2010-08-25T13:45:00Z</dcterms:modified>
</cp:coreProperties>
</file>