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B2" w:rsidRPr="00281FB2" w:rsidRDefault="00281FB2" w:rsidP="00281FB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281FB2">
        <w:rPr>
          <w:rFonts w:ascii="Verdana" w:hAnsi="Verdana"/>
          <w:b/>
          <w:sz w:val="20"/>
          <w:szCs w:val="20"/>
        </w:rPr>
        <w:t>A difícil arte de descobrir se uma campanha deu certo</w:t>
      </w:r>
    </w:p>
    <w:p w:rsidR="00281FB2" w:rsidRPr="00281FB2" w:rsidRDefault="00281FB2" w:rsidP="00281FB2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281FB2">
        <w:rPr>
          <w:rFonts w:ascii="Verdana" w:hAnsi="Verdana"/>
          <w:i/>
          <w:sz w:val="20"/>
          <w:szCs w:val="20"/>
        </w:rPr>
        <w:t>Adriana Mattos</w:t>
      </w:r>
    </w:p>
    <w:p w:rsidR="00281FB2" w:rsidRDefault="00281FB2" w:rsidP="00281FB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81FB2" w:rsidRPr="00281FB2" w:rsidRDefault="00281FB2" w:rsidP="00281FB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81FB2">
        <w:rPr>
          <w:rFonts w:ascii="Verdana" w:hAnsi="Verdana"/>
          <w:sz w:val="20"/>
          <w:szCs w:val="20"/>
        </w:rPr>
        <w:t>Quando os gastos em mídia aumentam, cresce também a preocupação dos anunciantes com a eficiência das ações criadas em torno da marca. Será que a verba aplicada alcançou o retorno esperado? Com isso, consultorias, agências e departamentos de marketing tentam verificar a questão na ponta do lápis. Isso já é possível, mas há implicações subjetivas na análise.</w:t>
      </w:r>
    </w:p>
    <w:p w:rsidR="00281FB2" w:rsidRPr="00281FB2" w:rsidRDefault="00281FB2" w:rsidP="00281FB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81FB2" w:rsidRPr="00281FB2" w:rsidRDefault="00281FB2" w:rsidP="00281FB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81FB2">
        <w:rPr>
          <w:rFonts w:ascii="Verdana" w:hAnsi="Verdana"/>
          <w:sz w:val="20"/>
          <w:szCs w:val="20"/>
        </w:rPr>
        <w:t xml:space="preserve">Quem faz esse acompanhamento com </w:t>
      </w:r>
      <w:proofErr w:type="spellStart"/>
      <w:r w:rsidRPr="00281FB2">
        <w:rPr>
          <w:rFonts w:ascii="Verdana" w:hAnsi="Verdana"/>
          <w:sz w:val="20"/>
          <w:szCs w:val="20"/>
        </w:rPr>
        <w:t>frequência</w:t>
      </w:r>
      <w:proofErr w:type="spellEnd"/>
      <w:r w:rsidRPr="00281FB2">
        <w:rPr>
          <w:rFonts w:ascii="Verdana" w:hAnsi="Verdana"/>
          <w:sz w:val="20"/>
          <w:szCs w:val="20"/>
        </w:rPr>
        <w:t xml:space="preserve"> é a administradora de cartões de crédito Visa, que lançou em março de 2009 a campanha "</w:t>
      </w:r>
      <w:proofErr w:type="spellStart"/>
      <w:proofErr w:type="gramStart"/>
      <w:r w:rsidRPr="00281FB2">
        <w:rPr>
          <w:rFonts w:ascii="Verdana" w:hAnsi="Verdana"/>
          <w:sz w:val="20"/>
          <w:szCs w:val="20"/>
        </w:rPr>
        <w:t>Go</w:t>
      </w:r>
      <w:proofErr w:type="spellEnd"/>
      <w:proofErr w:type="gramEnd"/>
      <w:r w:rsidRPr="00281FB2">
        <w:rPr>
          <w:rFonts w:ascii="Verdana" w:hAnsi="Verdana"/>
          <w:sz w:val="20"/>
          <w:szCs w:val="20"/>
        </w:rPr>
        <w:t>", veiculada no mundo inteiro. "Cruzamos uma série de indicadores para atestarmos a eficiência das ações", diz Luis Cassio de Oliveira, diretor executivo de marketing da Visa do Brasil. "Uma das formas de análise, básica e sempre fiel aos fatos, é ver a ativação (o uso) do cartão nas semanas após o lançamento da ação. Esse acompanhamento feito bem de perto pode ajudar numa análise final da eficiência da campanha".</w:t>
      </w:r>
    </w:p>
    <w:p w:rsidR="00281FB2" w:rsidRPr="00281FB2" w:rsidRDefault="00281FB2" w:rsidP="00281FB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81FB2" w:rsidRPr="00281FB2" w:rsidRDefault="00281FB2" w:rsidP="00281FB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81FB2">
        <w:rPr>
          <w:rFonts w:ascii="Verdana" w:hAnsi="Verdana"/>
          <w:sz w:val="20"/>
          <w:szCs w:val="20"/>
        </w:rPr>
        <w:t xml:space="preserve">No mercado, especialistas citam, por exemplo, o chamado </w:t>
      </w:r>
      <w:proofErr w:type="spellStart"/>
      <w:r w:rsidRPr="00281FB2">
        <w:rPr>
          <w:rFonts w:ascii="Verdana" w:hAnsi="Verdana"/>
          <w:sz w:val="20"/>
          <w:szCs w:val="20"/>
        </w:rPr>
        <w:t>KPIs</w:t>
      </w:r>
      <w:proofErr w:type="spellEnd"/>
      <w:r w:rsidRPr="00281FB2">
        <w:rPr>
          <w:rFonts w:ascii="Verdana" w:hAnsi="Verdana"/>
          <w:sz w:val="20"/>
          <w:szCs w:val="20"/>
        </w:rPr>
        <w:t xml:space="preserve"> de marketing, ou indicador de </w:t>
      </w:r>
      <w:proofErr w:type="gramStart"/>
      <w:r w:rsidRPr="00281FB2">
        <w:rPr>
          <w:rFonts w:ascii="Verdana" w:hAnsi="Verdana"/>
          <w:sz w:val="20"/>
          <w:szCs w:val="20"/>
        </w:rPr>
        <w:t>performance</w:t>
      </w:r>
      <w:proofErr w:type="gramEnd"/>
      <w:r w:rsidRPr="00281FB2">
        <w:rPr>
          <w:rFonts w:ascii="Verdana" w:hAnsi="Verdana"/>
          <w:sz w:val="20"/>
          <w:szCs w:val="20"/>
        </w:rPr>
        <w:t xml:space="preserve"> da campanha, que inclui pontos de análise como periodicidade em que se avaliará a propaganda, critérios de avaliação e até a equipe envolvida no trabalho.</w:t>
      </w:r>
    </w:p>
    <w:p w:rsidR="00281FB2" w:rsidRPr="00281FB2" w:rsidRDefault="00281FB2" w:rsidP="00281FB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81FB2" w:rsidRPr="00281FB2" w:rsidRDefault="00281FB2" w:rsidP="00281FB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81FB2">
        <w:rPr>
          <w:rFonts w:ascii="Verdana" w:hAnsi="Verdana"/>
          <w:sz w:val="20"/>
          <w:szCs w:val="20"/>
        </w:rPr>
        <w:t xml:space="preserve">Mas estudo publicado em </w:t>
      </w:r>
      <w:proofErr w:type="gramStart"/>
      <w:r w:rsidRPr="00281FB2">
        <w:rPr>
          <w:rFonts w:ascii="Verdana" w:hAnsi="Verdana"/>
          <w:sz w:val="20"/>
          <w:szCs w:val="20"/>
        </w:rPr>
        <w:t>2006 pela consultoria Deloitte</w:t>
      </w:r>
      <w:proofErr w:type="gramEnd"/>
      <w:r w:rsidRPr="00281FB2">
        <w:rPr>
          <w:rFonts w:ascii="Verdana" w:hAnsi="Verdana"/>
          <w:sz w:val="20"/>
          <w:szCs w:val="20"/>
        </w:rPr>
        <w:t xml:space="preserve"> revelou que 80% das ações de marketing são medidas de forma marginal. A dificuldade nessa avaliação tem crescido com a expansão da mídia digital. Toda vez, por exemplo, que uma mensagem de uma marca é enviada por e-mail a um consumidor, é disparado para o consultor contratado ou para a área de marketing uma mensagem mostrando algumas informações como, por exemplo, "e-mail </w:t>
      </w:r>
      <w:proofErr w:type="gramStart"/>
      <w:r w:rsidRPr="00281FB2">
        <w:rPr>
          <w:rFonts w:ascii="Verdana" w:hAnsi="Verdana"/>
          <w:sz w:val="20"/>
          <w:szCs w:val="20"/>
        </w:rPr>
        <w:t>devolvido</w:t>
      </w:r>
      <w:proofErr w:type="gramEnd"/>
      <w:r w:rsidRPr="00281FB2">
        <w:rPr>
          <w:rFonts w:ascii="Verdana" w:hAnsi="Verdana"/>
          <w:sz w:val="20"/>
          <w:szCs w:val="20"/>
        </w:rPr>
        <w:t>", "aberto" ou "lido". É uma espécie de confirmação detalhada de recebimento da mensagem. Mas, por se tratar de um mundo virtual, não se sabe se a mensagem foi avaliada positivamente.</w:t>
      </w:r>
    </w:p>
    <w:p w:rsidR="00281FB2" w:rsidRPr="00281FB2" w:rsidRDefault="00281FB2" w:rsidP="00281FB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81FB2" w:rsidRPr="00281FB2" w:rsidRDefault="00281FB2" w:rsidP="00281FB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81FB2">
        <w:rPr>
          <w:rFonts w:ascii="Verdana" w:hAnsi="Verdana"/>
          <w:sz w:val="20"/>
          <w:szCs w:val="20"/>
        </w:rPr>
        <w:t xml:space="preserve">"Para se verificar a aceitação de um produto, é preciso recorrer ao ponto de venda. É a velha forma de sentir o pulso do mercado", diz José Roberto Martins, diretor da </w:t>
      </w:r>
      <w:proofErr w:type="spellStart"/>
      <w:proofErr w:type="gramStart"/>
      <w:r w:rsidRPr="00281FB2">
        <w:rPr>
          <w:rFonts w:ascii="Verdana" w:hAnsi="Verdana"/>
          <w:sz w:val="20"/>
          <w:szCs w:val="20"/>
        </w:rPr>
        <w:t>GlobalBrands</w:t>
      </w:r>
      <w:proofErr w:type="spellEnd"/>
      <w:proofErr w:type="gramEnd"/>
      <w:r w:rsidRPr="00281FB2">
        <w:rPr>
          <w:rFonts w:ascii="Verdana" w:hAnsi="Verdana"/>
          <w:sz w:val="20"/>
          <w:szCs w:val="20"/>
        </w:rPr>
        <w:t xml:space="preserve">. </w:t>
      </w:r>
    </w:p>
    <w:p w:rsidR="00730621" w:rsidRPr="00730621" w:rsidRDefault="00730621" w:rsidP="0073062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A4DF8" w:rsidRPr="000A4DF8" w:rsidRDefault="00DC6C83" w:rsidP="0073062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Fonte: </w:t>
      </w:r>
      <w:r w:rsidR="00AD7BF7" w:rsidRPr="002618BC">
        <w:rPr>
          <w:rFonts w:ascii="Verdana" w:hAnsi="Verdana"/>
          <w:b/>
          <w:sz w:val="20"/>
          <w:szCs w:val="20"/>
        </w:rPr>
        <w:t xml:space="preserve">Valor Econômico, São Paulo, </w:t>
      </w:r>
      <w:r w:rsidR="00281FB2">
        <w:rPr>
          <w:rFonts w:ascii="Verdana" w:hAnsi="Verdana"/>
          <w:b/>
          <w:sz w:val="20"/>
          <w:szCs w:val="20"/>
        </w:rPr>
        <w:t>27</w:t>
      </w:r>
      <w:r w:rsidR="00B36F4B">
        <w:rPr>
          <w:rFonts w:ascii="Verdana" w:hAnsi="Verdana"/>
          <w:b/>
          <w:sz w:val="20"/>
          <w:szCs w:val="20"/>
        </w:rPr>
        <w:t xml:space="preserve"> ago</w:t>
      </w:r>
      <w:r w:rsidR="00B05678">
        <w:rPr>
          <w:rFonts w:ascii="Verdana" w:hAnsi="Verdana"/>
          <w:b/>
          <w:sz w:val="20"/>
          <w:szCs w:val="20"/>
        </w:rPr>
        <w:t>.</w:t>
      </w:r>
      <w:r w:rsidR="00AD7BF7" w:rsidRPr="002618BC">
        <w:rPr>
          <w:rFonts w:ascii="Verdana" w:hAnsi="Verdana"/>
          <w:b/>
          <w:sz w:val="20"/>
          <w:szCs w:val="20"/>
        </w:rPr>
        <w:t xml:space="preserve"> 20</w:t>
      </w:r>
      <w:r w:rsidR="007A0B66">
        <w:rPr>
          <w:rFonts w:ascii="Verdana" w:hAnsi="Verdana"/>
          <w:b/>
          <w:sz w:val="20"/>
          <w:szCs w:val="20"/>
        </w:rPr>
        <w:t>10</w:t>
      </w:r>
      <w:r w:rsidR="00AD7BF7" w:rsidRPr="002618BC">
        <w:rPr>
          <w:rFonts w:ascii="Verdana" w:hAnsi="Verdana"/>
          <w:b/>
          <w:sz w:val="20"/>
          <w:szCs w:val="20"/>
        </w:rPr>
        <w:t xml:space="preserve">, </w:t>
      </w:r>
      <w:r w:rsidR="00B36F4B">
        <w:rPr>
          <w:rFonts w:ascii="Verdana" w:hAnsi="Verdana"/>
          <w:b/>
          <w:sz w:val="20"/>
          <w:szCs w:val="20"/>
        </w:rPr>
        <w:t>Empresas</w:t>
      </w:r>
      <w:r w:rsidR="00AD7BF7" w:rsidRPr="002618BC">
        <w:rPr>
          <w:rFonts w:ascii="Verdana" w:hAnsi="Verdana"/>
          <w:b/>
          <w:sz w:val="20"/>
          <w:szCs w:val="20"/>
        </w:rPr>
        <w:t xml:space="preserve">, p. </w:t>
      </w:r>
      <w:r w:rsidR="00B36F4B">
        <w:rPr>
          <w:rFonts w:ascii="Verdana" w:hAnsi="Verdana"/>
          <w:b/>
          <w:sz w:val="20"/>
          <w:szCs w:val="20"/>
        </w:rPr>
        <w:t>B</w:t>
      </w:r>
      <w:r w:rsidR="00281FB2">
        <w:rPr>
          <w:rFonts w:ascii="Verdana" w:hAnsi="Verdana"/>
          <w:b/>
          <w:sz w:val="20"/>
          <w:szCs w:val="20"/>
        </w:rPr>
        <w:t>1</w:t>
      </w:r>
      <w:r w:rsidR="00AD7BF7" w:rsidRPr="002618BC">
        <w:rPr>
          <w:rFonts w:ascii="Verdana" w:hAnsi="Verdana"/>
          <w:b/>
          <w:sz w:val="20"/>
          <w:szCs w:val="20"/>
        </w:rPr>
        <w:t>.</w:t>
      </w:r>
    </w:p>
    <w:sectPr w:rsidR="000A4DF8" w:rsidRPr="000A4DF8" w:rsidSect="007306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61618"/>
    <w:rsid w:val="00064BC7"/>
    <w:rsid w:val="000879A5"/>
    <w:rsid w:val="00091140"/>
    <w:rsid w:val="000A4DF8"/>
    <w:rsid w:val="000B1B96"/>
    <w:rsid w:val="000C0940"/>
    <w:rsid w:val="00116988"/>
    <w:rsid w:val="001B65AD"/>
    <w:rsid w:val="002275C6"/>
    <w:rsid w:val="00281FB2"/>
    <w:rsid w:val="003449AB"/>
    <w:rsid w:val="004379E6"/>
    <w:rsid w:val="004E0294"/>
    <w:rsid w:val="00504332"/>
    <w:rsid w:val="005425C4"/>
    <w:rsid w:val="00543D2A"/>
    <w:rsid w:val="00577C76"/>
    <w:rsid w:val="00601160"/>
    <w:rsid w:val="00646BB4"/>
    <w:rsid w:val="00647719"/>
    <w:rsid w:val="00652A87"/>
    <w:rsid w:val="006771E7"/>
    <w:rsid w:val="00730621"/>
    <w:rsid w:val="00742EC3"/>
    <w:rsid w:val="007A0B66"/>
    <w:rsid w:val="007B5154"/>
    <w:rsid w:val="007E3DFB"/>
    <w:rsid w:val="007E4AD9"/>
    <w:rsid w:val="00806F39"/>
    <w:rsid w:val="00864DC0"/>
    <w:rsid w:val="00886D30"/>
    <w:rsid w:val="008B7BA5"/>
    <w:rsid w:val="009D33C0"/>
    <w:rsid w:val="00AD7BF7"/>
    <w:rsid w:val="00B05678"/>
    <w:rsid w:val="00B242DA"/>
    <w:rsid w:val="00B36F4B"/>
    <w:rsid w:val="00B77845"/>
    <w:rsid w:val="00B91ACB"/>
    <w:rsid w:val="00BA4F02"/>
    <w:rsid w:val="00BD71DC"/>
    <w:rsid w:val="00BF2046"/>
    <w:rsid w:val="00C34177"/>
    <w:rsid w:val="00C91A71"/>
    <w:rsid w:val="00CB0744"/>
    <w:rsid w:val="00D9017A"/>
    <w:rsid w:val="00DB0671"/>
    <w:rsid w:val="00DC6C83"/>
    <w:rsid w:val="00DE3993"/>
    <w:rsid w:val="00E02AE8"/>
    <w:rsid w:val="00E2763A"/>
    <w:rsid w:val="00E90B83"/>
    <w:rsid w:val="00E91849"/>
    <w:rsid w:val="00F014D3"/>
    <w:rsid w:val="00FB0B7D"/>
    <w:rsid w:val="00FE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dcterms:created xsi:type="dcterms:W3CDTF">2010-08-27T12:55:00Z</dcterms:created>
  <dcterms:modified xsi:type="dcterms:W3CDTF">2010-08-27T12:55:00Z</dcterms:modified>
</cp:coreProperties>
</file>