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36FC1">
        <w:rPr>
          <w:rFonts w:ascii="Verdana" w:hAnsi="Verdana"/>
          <w:b/>
          <w:sz w:val="20"/>
          <w:szCs w:val="20"/>
        </w:rPr>
        <w:t>Gás ozônio se torna um dos principais poluentes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 xml:space="preserve">As partículas finas e o ozônio são os principais poluentes atuais, diz o patologista Paulo </w:t>
      </w:r>
      <w:proofErr w:type="spellStart"/>
      <w:r w:rsidRPr="00736FC1">
        <w:rPr>
          <w:rFonts w:ascii="Verdana" w:hAnsi="Verdana"/>
          <w:sz w:val="20"/>
          <w:szCs w:val="20"/>
        </w:rPr>
        <w:t>Saldiva</w:t>
      </w:r>
      <w:proofErr w:type="spellEnd"/>
      <w:r w:rsidRPr="00736FC1">
        <w:rPr>
          <w:rFonts w:ascii="Verdana" w:hAnsi="Verdana"/>
          <w:sz w:val="20"/>
          <w:szCs w:val="20"/>
        </w:rPr>
        <w:t>, do Laboratório de Poluição Atmosférica da Faculdade de Medicina da USP. O monóxido de carbono, antes considerado o vilão da poluição, hoje está controlado inclusive em grandes metrópoles, segundo o IBGE.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>Em cinco das sete regiões metropolitanas em que há dados sobre ozônio, a concentração máxima registrada em 2008 estava acima do padrão aceito pelo Conselho Nacional do Meio Ambiente, de 160 microgramas por metro cúbico: Belo Horizonte (300 microgramas/m3), São Paulo (279), Rio (233), Porto Alegre (220) e Curitiba (188).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 xml:space="preserve">"O efeito do ozônio [em uma criança] é semelhante ao do ar de uma casa onde os pais fumem", diz </w:t>
      </w:r>
      <w:proofErr w:type="spellStart"/>
      <w:r w:rsidRPr="00736FC1">
        <w:rPr>
          <w:rFonts w:ascii="Verdana" w:hAnsi="Verdana"/>
          <w:sz w:val="20"/>
          <w:szCs w:val="20"/>
        </w:rPr>
        <w:t>Saldiva</w:t>
      </w:r>
      <w:proofErr w:type="spellEnd"/>
      <w:r w:rsidRPr="00736FC1">
        <w:rPr>
          <w:rFonts w:ascii="Verdana" w:hAnsi="Verdana"/>
          <w:sz w:val="20"/>
          <w:szCs w:val="20"/>
        </w:rPr>
        <w:t>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>O IBGE avaliou a evolução de outros cinco poluentes: monóxido de carbono, dióxido de nitrogênio, dióxido de enxofre, partículas totais em suspensão e partículas inaláveis (as partículas finas, outro poluente problemático, correspondem a cerca de 50% dessas).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>No capítulo ambiental do levantamento, o IBGE analisou 20 indicadores e concluiu que houve avanços.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>Os focos de queimadas e incêndios florestais caíram 70,4% entre 2004 e 2009. Naquele ano foram registrados 236.014 casos; neste, 69.702.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 xml:space="preserve">O desmatamento na Amazônia Legal caiu 74% entre 2004 e 2009, mas 14,6% da área total </w:t>
      </w:r>
      <w:proofErr w:type="gramStart"/>
      <w:r w:rsidRPr="00736FC1">
        <w:rPr>
          <w:rFonts w:ascii="Verdana" w:hAnsi="Verdana"/>
          <w:sz w:val="20"/>
          <w:szCs w:val="20"/>
        </w:rPr>
        <w:t>está</w:t>
      </w:r>
      <w:proofErr w:type="gramEnd"/>
      <w:r w:rsidRPr="00736FC1">
        <w:rPr>
          <w:rFonts w:ascii="Verdana" w:hAnsi="Verdana"/>
          <w:sz w:val="20"/>
          <w:szCs w:val="20"/>
        </w:rPr>
        <w:t xml:space="preserve"> destruída.</w:t>
      </w: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6FC1" w:rsidRPr="00736FC1" w:rsidRDefault="00736FC1" w:rsidP="00736F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6FC1">
        <w:rPr>
          <w:rFonts w:ascii="Verdana" w:hAnsi="Verdana"/>
          <w:sz w:val="20"/>
          <w:szCs w:val="20"/>
        </w:rPr>
        <w:t>Entre 1970 e 2006, a área de pastagens plantadas no país aumentou de 3,5% para 12% do território.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736FC1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736FC1">
        <w:rPr>
          <w:rFonts w:ascii="Verdana" w:hAnsi="Verdana"/>
          <w:b/>
          <w:sz w:val="20"/>
          <w:szCs w:val="20"/>
        </w:rPr>
        <w:t>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736FC1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A5655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2010-09-02T13:42:00Z</dcterms:created>
  <dcterms:modified xsi:type="dcterms:W3CDTF">2010-09-02T13:42:00Z</dcterms:modified>
</cp:coreProperties>
</file>