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51" w:rsidRDefault="00AB0951" w:rsidP="00AB09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B0951">
        <w:rPr>
          <w:rFonts w:ascii="Verdana" w:hAnsi="Verdana"/>
          <w:b/>
          <w:sz w:val="20"/>
          <w:szCs w:val="20"/>
        </w:rPr>
        <w:t>Transnacionais novas enfrentam protecionismo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B0951" w:rsidRPr="00AB0951" w:rsidRDefault="00AB0951" w:rsidP="00AB0951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AB0951">
        <w:rPr>
          <w:rFonts w:ascii="Verdana" w:hAnsi="Verdana"/>
          <w:i/>
          <w:sz w:val="20"/>
          <w:szCs w:val="20"/>
        </w:rPr>
        <w:t>Empresas chinesas sofreram reveses nos EUA, e russas esbarraram em vetos no Reino Unido e na Espanha</w:t>
      </w:r>
    </w:p>
    <w:p w:rsidR="00AB0951" w:rsidRPr="00AB0951" w:rsidRDefault="00AB0951" w:rsidP="00AB0951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AB0951" w:rsidRPr="00AB0951" w:rsidRDefault="00AB0951" w:rsidP="00AB0951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AB0951">
        <w:rPr>
          <w:rFonts w:ascii="Verdana" w:hAnsi="Verdana"/>
          <w:i/>
          <w:sz w:val="20"/>
          <w:szCs w:val="20"/>
        </w:rPr>
        <w:t>Especialista diz que novas múltis não têm o perfil "integrador" que caracteriza as empresas tradicionais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>As múltis emergentes enfrentam protecionismo crescente nos países ricos, em especial nas áreas de energia e alta tecnologia.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 xml:space="preserve">Empresas da China, que em 2005 foram impedidas de comprar a petrolífera </w:t>
      </w:r>
      <w:proofErr w:type="spellStart"/>
      <w:r w:rsidRPr="00AB0951">
        <w:rPr>
          <w:rFonts w:ascii="Verdana" w:hAnsi="Verdana"/>
          <w:sz w:val="20"/>
          <w:szCs w:val="20"/>
        </w:rPr>
        <w:t>Unocal</w:t>
      </w:r>
      <w:proofErr w:type="spellEnd"/>
      <w:r w:rsidRPr="00AB0951">
        <w:rPr>
          <w:rFonts w:ascii="Verdana" w:hAnsi="Verdana"/>
          <w:sz w:val="20"/>
          <w:szCs w:val="20"/>
        </w:rPr>
        <w:t>, sofreram um novo revés neste ano nos EUA -</w:t>
      </w:r>
      <w:r>
        <w:rPr>
          <w:rFonts w:ascii="Verdana" w:hAnsi="Verdana"/>
          <w:sz w:val="20"/>
          <w:szCs w:val="20"/>
        </w:rPr>
        <w:t xml:space="preserve"> </w:t>
      </w:r>
      <w:r w:rsidRPr="00AB0951">
        <w:rPr>
          <w:rFonts w:ascii="Verdana" w:hAnsi="Verdana"/>
          <w:sz w:val="20"/>
          <w:szCs w:val="20"/>
        </w:rPr>
        <w:t xml:space="preserve">a </w:t>
      </w:r>
      <w:proofErr w:type="spellStart"/>
      <w:r w:rsidRPr="00AB0951">
        <w:rPr>
          <w:rFonts w:ascii="Verdana" w:hAnsi="Verdana"/>
          <w:sz w:val="20"/>
          <w:szCs w:val="20"/>
        </w:rPr>
        <w:t>Huawei</w:t>
      </w:r>
      <w:proofErr w:type="spellEnd"/>
      <w:r w:rsidRPr="00AB0951">
        <w:rPr>
          <w:rFonts w:ascii="Verdana" w:hAnsi="Verdana"/>
          <w:sz w:val="20"/>
          <w:szCs w:val="20"/>
        </w:rPr>
        <w:t>, maior fabricante chinesa de equipamentos de telecomunicação, foi ultrapassada pela Nokia-Siemens na aquisição dos ativos da Motorola para redes sem fio.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 xml:space="preserve">As empresas russas de gás </w:t>
      </w:r>
      <w:proofErr w:type="spellStart"/>
      <w:r w:rsidRPr="00AB0951">
        <w:rPr>
          <w:rFonts w:ascii="Verdana" w:hAnsi="Verdana"/>
          <w:sz w:val="20"/>
          <w:szCs w:val="20"/>
        </w:rPr>
        <w:t>Grazpom</w:t>
      </w:r>
      <w:proofErr w:type="spellEnd"/>
      <w:r w:rsidRPr="00AB0951">
        <w:rPr>
          <w:rFonts w:ascii="Verdana" w:hAnsi="Verdana"/>
          <w:sz w:val="20"/>
          <w:szCs w:val="20"/>
        </w:rPr>
        <w:t xml:space="preserve"> e </w:t>
      </w:r>
      <w:proofErr w:type="spellStart"/>
      <w:r w:rsidRPr="00AB0951">
        <w:rPr>
          <w:rFonts w:ascii="Verdana" w:hAnsi="Verdana"/>
          <w:sz w:val="20"/>
          <w:szCs w:val="20"/>
        </w:rPr>
        <w:t>Lukoil</w:t>
      </w:r>
      <w:proofErr w:type="spellEnd"/>
      <w:r w:rsidRPr="00AB0951">
        <w:rPr>
          <w:rFonts w:ascii="Verdana" w:hAnsi="Verdana"/>
          <w:sz w:val="20"/>
          <w:szCs w:val="20"/>
        </w:rPr>
        <w:t>, cuja estratégia é estender suas atividades para a distribuição de gás domiciliar na Europa, já tiveram compras vetadas no Reino Unido e na Espanha.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 xml:space="preserve">No ano passado, a General Motors cancelou, depois do anúncio oficial, a venda da subsidiária </w:t>
      </w:r>
      <w:proofErr w:type="spellStart"/>
      <w:r w:rsidRPr="00AB0951">
        <w:rPr>
          <w:rFonts w:ascii="Verdana" w:hAnsi="Verdana"/>
          <w:sz w:val="20"/>
          <w:szCs w:val="20"/>
        </w:rPr>
        <w:t>europeia</w:t>
      </w:r>
      <w:proofErr w:type="spellEnd"/>
      <w:r w:rsidRPr="00AB0951">
        <w:rPr>
          <w:rFonts w:ascii="Verdana" w:hAnsi="Verdana"/>
          <w:sz w:val="20"/>
          <w:szCs w:val="20"/>
        </w:rPr>
        <w:t xml:space="preserve"> </w:t>
      </w:r>
      <w:proofErr w:type="spellStart"/>
      <w:r w:rsidRPr="00AB0951">
        <w:rPr>
          <w:rFonts w:ascii="Verdana" w:hAnsi="Verdana"/>
          <w:sz w:val="20"/>
          <w:szCs w:val="20"/>
        </w:rPr>
        <w:t>Opel</w:t>
      </w:r>
      <w:proofErr w:type="spellEnd"/>
      <w:r w:rsidRPr="00AB0951">
        <w:rPr>
          <w:rFonts w:ascii="Verdana" w:hAnsi="Verdana"/>
          <w:sz w:val="20"/>
          <w:szCs w:val="20"/>
        </w:rPr>
        <w:t xml:space="preserve"> a um consórcio do banco </w:t>
      </w:r>
      <w:proofErr w:type="spellStart"/>
      <w:r w:rsidRPr="00AB0951">
        <w:rPr>
          <w:rFonts w:ascii="Verdana" w:hAnsi="Verdana"/>
          <w:sz w:val="20"/>
          <w:szCs w:val="20"/>
        </w:rPr>
        <w:t>Sberbank</w:t>
      </w:r>
      <w:proofErr w:type="spellEnd"/>
      <w:r w:rsidRPr="00AB0951">
        <w:rPr>
          <w:rFonts w:ascii="Verdana" w:hAnsi="Verdana"/>
          <w:sz w:val="20"/>
          <w:szCs w:val="20"/>
        </w:rPr>
        <w:t>, da Rússia, com a indústria de autopeças canadense Magna.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 xml:space="preserve">André </w:t>
      </w:r>
      <w:proofErr w:type="spellStart"/>
      <w:r w:rsidRPr="00AB0951">
        <w:rPr>
          <w:rFonts w:ascii="Verdana" w:hAnsi="Verdana"/>
          <w:sz w:val="20"/>
          <w:szCs w:val="20"/>
        </w:rPr>
        <w:t>Pineli</w:t>
      </w:r>
      <w:proofErr w:type="spellEnd"/>
      <w:r w:rsidRPr="00AB0951">
        <w:rPr>
          <w:rFonts w:ascii="Verdana" w:hAnsi="Verdana"/>
          <w:sz w:val="20"/>
          <w:szCs w:val="20"/>
        </w:rPr>
        <w:t xml:space="preserve">, do </w:t>
      </w:r>
      <w:proofErr w:type="spellStart"/>
      <w:proofErr w:type="gramStart"/>
      <w:r w:rsidRPr="00AB0951">
        <w:rPr>
          <w:rFonts w:ascii="Verdana" w:hAnsi="Verdana"/>
          <w:sz w:val="20"/>
          <w:szCs w:val="20"/>
        </w:rPr>
        <w:t>Ipea</w:t>
      </w:r>
      <w:proofErr w:type="spellEnd"/>
      <w:proofErr w:type="gramEnd"/>
      <w:r w:rsidRPr="00AB0951">
        <w:rPr>
          <w:rFonts w:ascii="Verdana" w:hAnsi="Verdana"/>
          <w:sz w:val="20"/>
          <w:szCs w:val="20"/>
        </w:rPr>
        <w:t>, avalia que ainda não há uma ação combinada dos países ricos, que em geral justificam essa resistência pela ligação de muitas das múltis emergentes com governos.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 xml:space="preserve">"Mas é de se esperar que isso </w:t>
      </w:r>
      <w:proofErr w:type="gramStart"/>
      <w:r w:rsidRPr="00AB0951">
        <w:rPr>
          <w:rFonts w:ascii="Verdana" w:hAnsi="Verdana"/>
          <w:sz w:val="20"/>
          <w:szCs w:val="20"/>
        </w:rPr>
        <w:t>aconteça,</w:t>
      </w:r>
      <w:proofErr w:type="gramEnd"/>
      <w:r w:rsidRPr="00AB0951">
        <w:rPr>
          <w:rFonts w:ascii="Verdana" w:hAnsi="Verdana"/>
          <w:sz w:val="20"/>
          <w:szCs w:val="20"/>
        </w:rPr>
        <w:t xml:space="preserve"> que comecem a exigir padrões ambientais ou trabalhistas nos países de origem", afirma.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>Segundo ele, falta às novas múltis o perfil "integrador" que caracteriza as tradicionais: "Estas terceirizam quase tudo e se concentram no mais rentável, como a criação. A Nike, por exemplo, só faz o desenho".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>Como as multinacionais de ponta têm hoje boa parte da produção instalada nos países em desenvolvimento, há quem avalie que seu controle acionário já não é tão relevante: elas estariam investindo em inovação nas próprias subsidiárias.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 xml:space="preserve">Mas esse movimento ainda é pequeno. "Empresas como General </w:t>
      </w:r>
      <w:proofErr w:type="spellStart"/>
      <w:r w:rsidRPr="00AB0951">
        <w:rPr>
          <w:rFonts w:ascii="Verdana" w:hAnsi="Verdana"/>
          <w:sz w:val="20"/>
          <w:szCs w:val="20"/>
        </w:rPr>
        <w:t>Eletric</w:t>
      </w:r>
      <w:proofErr w:type="spellEnd"/>
      <w:r w:rsidRPr="00AB0951">
        <w:rPr>
          <w:rFonts w:ascii="Verdana" w:hAnsi="Verdana"/>
          <w:sz w:val="20"/>
          <w:szCs w:val="20"/>
        </w:rPr>
        <w:t>, Philips e Siemens têm exemplos de pesquisa e desenvolvimento local. Mas o forte continua nos países centrais, porque é estratégico", diz Antonio Lacerda, da PUC-SP.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>Ele observa que parte do projeto da China para avançar em inovação é exigir das múltis que se instalam no país a transferência de tecnologia. Com isso, pode tanto deixar de importar quanto exportar mais.</w:t>
      </w:r>
    </w:p>
    <w:p w:rsidR="00AB0951" w:rsidRP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0951" w:rsidRDefault="00AB0951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0951">
        <w:rPr>
          <w:rFonts w:ascii="Verdana" w:hAnsi="Verdana"/>
          <w:sz w:val="20"/>
          <w:szCs w:val="20"/>
        </w:rPr>
        <w:t xml:space="preserve">"Temos no Brasil a economia mais internacionalizada entre os </w:t>
      </w:r>
      <w:proofErr w:type="spellStart"/>
      <w:r w:rsidRPr="00AB0951">
        <w:rPr>
          <w:rFonts w:ascii="Verdana" w:hAnsi="Verdana"/>
          <w:sz w:val="20"/>
          <w:szCs w:val="20"/>
        </w:rPr>
        <w:t>Brics</w:t>
      </w:r>
      <w:proofErr w:type="spellEnd"/>
      <w:r w:rsidRPr="00AB0951">
        <w:rPr>
          <w:rFonts w:ascii="Verdana" w:hAnsi="Verdana"/>
          <w:sz w:val="20"/>
          <w:szCs w:val="20"/>
        </w:rPr>
        <w:t xml:space="preserve">, o maior peso do investimento direto no PIB (25%), mas ainda exportamos </w:t>
      </w:r>
      <w:proofErr w:type="gramStart"/>
      <w:r w:rsidRPr="00AB0951">
        <w:rPr>
          <w:rFonts w:ascii="Verdana" w:hAnsi="Verdana"/>
          <w:sz w:val="20"/>
          <w:szCs w:val="20"/>
        </w:rPr>
        <w:t>só</w:t>
      </w:r>
      <w:proofErr w:type="gramEnd"/>
      <w:r w:rsidRPr="00AB0951">
        <w:rPr>
          <w:rFonts w:ascii="Verdana" w:hAnsi="Verdana"/>
          <w:sz w:val="20"/>
          <w:szCs w:val="20"/>
        </w:rPr>
        <w:t xml:space="preserve"> 1% do mercado global. Somos passivos em relação ao investimento que ingressa aqui."</w:t>
      </w:r>
    </w:p>
    <w:p w:rsidR="003F1C7F" w:rsidRPr="00AB0951" w:rsidRDefault="003F1C7F" w:rsidP="00AB0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Default="003F1C7F" w:rsidP="003F1C7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  <w:color w:val="1F497D"/>
          <w:lang w:eastAsia="pt-BR"/>
        </w:rPr>
        <w:lastRenderedPageBreak/>
        <w:drawing>
          <wp:inline distT="0" distB="0" distL="0" distR="0">
            <wp:extent cx="4504690" cy="6468110"/>
            <wp:effectExtent l="19050" t="0" r="0" b="0"/>
            <wp:docPr id="1" name="Imagem 1" descr="cid:image001.png@01CB7456.0A832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png@01CB7456.0A832F1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646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7F" w:rsidRPr="00711791" w:rsidRDefault="003F1C7F" w:rsidP="003F1C7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AB0951">
        <w:rPr>
          <w:rFonts w:ascii="Verdana" w:hAnsi="Verdana"/>
          <w:b/>
          <w:sz w:val="20"/>
          <w:szCs w:val="20"/>
        </w:rPr>
        <w:t>23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AB0951">
        <w:rPr>
          <w:rFonts w:ascii="Verdana" w:hAnsi="Verdana"/>
          <w:b/>
          <w:sz w:val="20"/>
          <w:szCs w:val="20"/>
        </w:rPr>
        <w:t>Mercado2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711791">
        <w:rPr>
          <w:rFonts w:ascii="Verdana" w:hAnsi="Verdana"/>
          <w:b/>
          <w:sz w:val="20"/>
          <w:szCs w:val="20"/>
        </w:rPr>
        <w:t>2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03B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314004"/>
    <w:rsid w:val="00382847"/>
    <w:rsid w:val="003B1D70"/>
    <w:rsid w:val="003E0B54"/>
    <w:rsid w:val="003F1C7F"/>
    <w:rsid w:val="003F29D6"/>
    <w:rsid w:val="003F4983"/>
    <w:rsid w:val="004671CF"/>
    <w:rsid w:val="004C0D6F"/>
    <w:rsid w:val="00504332"/>
    <w:rsid w:val="005064DC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240DB"/>
    <w:rsid w:val="00971210"/>
    <w:rsid w:val="00A21D11"/>
    <w:rsid w:val="00A96DB4"/>
    <w:rsid w:val="00AB0951"/>
    <w:rsid w:val="00AD7BF7"/>
    <w:rsid w:val="00B03329"/>
    <w:rsid w:val="00B12911"/>
    <w:rsid w:val="00B5643E"/>
    <w:rsid w:val="00BE12F9"/>
    <w:rsid w:val="00C13D91"/>
    <w:rsid w:val="00C8540D"/>
    <w:rsid w:val="00C91A71"/>
    <w:rsid w:val="00CB0744"/>
    <w:rsid w:val="00CB0BE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B7456.0A832F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2010-10-25T15:10:00Z</dcterms:created>
  <dcterms:modified xsi:type="dcterms:W3CDTF">2010-10-25T17:34:00Z</dcterms:modified>
</cp:coreProperties>
</file>